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075F" w14:textId="2F8411BB" w:rsidR="00CB51B6" w:rsidRDefault="00D52CA8">
      <w:pPr>
        <w:rPr>
          <w:b/>
          <w:bCs/>
        </w:rPr>
      </w:pPr>
      <w:r w:rsidRPr="00651182">
        <w:rPr>
          <w:b/>
          <w:bCs/>
        </w:rPr>
        <w:t xml:space="preserve">Research Relations </w:t>
      </w:r>
      <w:proofErr w:type="gramStart"/>
      <w:r w:rsidRPr="00651182">
        <w:rPr>
          <w:b/>
          <w:bCs/>
        </w:rPr>
        <w:t xml:space="preserve">Team </w:t>
      </w:r>
      <w:r w:rsidR="00EC30BE">
        <w:rPr>
          <w:b/>
          <w:bCs/>
        </w:rPr>
        <w:t xml:space="preserve"> -</w:t>
      </w:r>
      <w:proofErr w:type="gramEnd"/>
      <w:r w:rsidR="00EC30BE">
        <w:rPr>
          <w:b/>
          <w:bCs/>
        </w:rPr>
        <w:t xml:space="preserve"> </w:t>
      </w:r>
      <w:r w:rsidRPr="00651182">
        <w:rPr>
          <w:b/>
          <w:bCs/>
        </w:rPr>
        <w:t xml:space="preserve">Menu of </w:t>
      </w:r>
      <w:r w:rsidR="007A1D21">
        <w:rPr>
          <w:b/>
          <w:bCs/>
        </w:rPr>
        <w:t>s</w:t>
      </w:r>
      <w:r w:rsidRPr="00651182">
        <w:rPr>
          <w:b/>
          <w:bCs/>
        </w:rPr>
        <w:t>upport</w:t>
      </w:r>
      <w:r w:rsidR="00651182">
        <w:rPr>
          <w:b/>
          <w:bCs/>
        </w:rPr>
        <w:t xml:space="preserve"> </w:t>
      </w:r>
      <w:r w:rsidR="007A1D21">
        <w:rPr>
          <w:b/>
          <w:bCs/>
        </w:rPr>
        <w:t>for large research grant applications</w:t>
      </w:r>
    </w:p>
    <w:p w14:paraId="6C721BF0" w14:textId="13C9B299" w:rsidR="00651182" w:rsidRPr="007C166D" w:rsidRDefault="00651182">
      <w:r w:rsidRPr="007C166D">
        <w:t xml:space="preserve">Please get in touch with us to discuss </w:t>
      </w:r>
      <w:r w:rsidR="00CB51B6" w:rsidRPr="007C166D">
        <w:t>the type of support you need.</w:t>
      </w:r>
      <w:r w:rsidR="006F4EF3" w:rsidRPr="007C166D">
        <w:t xml:space="preserve"> We are a small team so can help with </w:t>
      </w:r>
      <w:proofErr w:type="gramStart"/>
      <w:r w:rsidR="00796718" w:rsidRPr="007C166D">
        <w:t>particular</w:t>
      </w:r>
      <w:r w:rsidR="006F4EF3" w:rsidRPr="007C166D">
        <w:t xml:space="preserve"> parts</w:t>
      </w:r>
      <w:proofErr w:type="gramEnd"/>
      <w:r w:rsidR="006F4EF3" w:rsidRPr="007C166D">
        <w:t xml:space="preserve"> of your application but can generally not provide full project management</w:t>
      </w:r>
      <w:r w:rsidR="00A038A8" w:rsidRPr="007C166D">
        <w:t xml:space="preserve">. </w:t>
      </w:r>
      <w:r w:rsidR="00521C4C" w:rsidRPr="007C166D">
        <w:t xml:space="preserve">Please see information </w:t>
      </w:r>
      <w:r w:rsidR="007C166D" w:rsidRPr="007C166D">
        <w:t xml:space="preserve">on our webpages </w:t>
      </w:r>
      <w:r w:rsidR="00521C4C" w:rsidRPr="007C166D">
        <w:t xml:space="preserve">about examples of grant writing companies that provide this </w:t>
      </w:r>
      <w:r w:rsidR="007C166D" w:rsidRPr="007C166D">
        <w:t>sort of service if this is something you are looking for.</w:t>
      </w:r>
    </w:p>
    <w:tbl>
      <w:tblPr>
        <w:tblStyle w:val="TableGrid"/>
        <w:tblW w:w="5000" w:type="pct"/>
        <w:tblLook w:val="04A0" w:firstRow="1" w:lastRow="0" w:firstColumn="1" w:lastColumn="0" w:noHBand="0" w:noVBand="1"/>
      </w:tblPr>
      <w:tblGrid>
        <w:gridCol w:w="2123"/>
        <w:gridCol w:w="2550"/>
        <w:gridCol w:w="4678"/>
        <w:gridCol w:w="4597"/>
      </w:tblGrid>
      <w:tr w:rsidR="00D52CA8" w14:paraId="1C6001B9" w14:textId="77777777" w:rsidTr="00651182">
        <w:tc>
          <w:tcPr>
            <w:tcW w:w="761" w:type="pct"/>
          </w:tcPr>
          <w:p w14:paraId="21B5EA8D" w14:textId="4EDC0BCF" w:rsidR="00D52CA8" w:rsidRDefault="00651182">
            <w:r>
              <w:t>Stage of application</w:t>
            </w:r>
          </w:p>
        </w:tc>
        <w:tc>
          <w:tcPr>
            <w:tcW w:w="914" w:type="pct"/>
          </w:tcPr>
          <w:p w14:paraId="6A2B00C8" w14:textId="7D1563B7" w:rsidR="00D52CA8" w:rsidRDefault="00651182">
            <w:r>
              <w:t>Support needed</w:t>
            </w:r>
          </w:p>
        </w:tc>
        <w:tc>
          <w:tcPr>
            <w:tcW w:w="1677" w:type="pct"/>
          </w:tcPr>
          <w:p w14:paraId="5AF3E383" w14:textId="0B056CC9" w:rsidR="00D52CA8" w:rsidRDefault="00D52CA8">
            <w:r>
              <w:t>What we can do to help</w:t>
            </w:r>
          </w:p>
        </w:tc>
        <w:tc>
          <w:tcPr>
            <w:tcW w:w="1648" w:type="pct"/>
          </w:tcPr>
          <w:p w14:paraId="596BEC95" w14:textId="0A79F2E8" w:rsidR="00D52CA8" w:rsidRDefault="00D52CA8">
            <w:r>
              <w:t>What we can’t do</w:t>
            </w:r>
          </w:p>
        </w:tc>
      </w:tr>
      <w:tr w:rsidR="00651182" w14:paraId="11EFCA24" w14:textId="77777777" w:rsidTr="00651182">
        <w:tc>
          <w:tcPr>
            <w:tcW w:w="761" w:type="pct"/>
            <w:vMerge w:val="restart"/>
          </w:tcPr>
          <w:p w14:paraId="2A2ED7C5" w14:textId="48341915" w:rsidR="00651182" w:rsidRDefault="00651182">
            <w:r>
              <w:t>Pre-writing support</w:t>
            </w:r>
          </w:p>
        </w:tc>
        <w:tc>
          <w:tcPr>
            <w:tcW w:w="914" w:type="pct"/>
          </w:tcPr>
          <w:p w14:paraId="72C1FF98" w14:textId="343963A9" w:rsidR="00651182" w:rsidRDefault="00651182">
            <w:r>
              <w:t>Understanding the call</w:t>
            </w:r>
          </w:p>
        </w:tc>
        <w:tc>
          <w:tcPr>
            <w:tcW w:w="1677" w:type="pct"/>
          </w:tcPr>
          <w:p w14:paraId="3E78343A" w14:textId="78F1F889" w:rsidR="00651182" w:rsidRDefault="00651182">
            <w:r>
              <w:t xml:space="preserve">We </w:t>
            </w:r>
            <w:r w:rsidR="00C952E3">
              <w:t>will</w:t>
            </w:r>
            <w:r>
              <w:t xml:space="preserve"> read the call information and give you advi</w:t>
            </w:r>
            <w:r w:rsidR="00566E09">
              <w:t>c</w:t>
            </w:r>
            <w:r>
              <w:t xml:space="preserve">e on what the call is looking for based on our understanding of the scheme </w:t>
            </w:r>
            <w:r w:rsidR="00566E09">
              <w:t>and</w:t>
            </w:r>
            <w:r>
              <w:t xml:space="preserve"> our previous experience. We </w:t>
            </w:r>
            <w:r w:rsidR="009E2D58">
              <w:t>may</w:t>
            </w:r>
            <w:r>
              <w:t xml:space="preserve"> also </w:t>
            </w:r>
            <w:r w:rsidR="009E2D58">
              <w:t xml:space="preserve">be able to </w:t>
            </w:r>
            <w:r>
              <w:t>attend online webinars and summarise the key points for you if you are not able to attend</w:t>
            </w:r>
            <w:r w:rsidR="00F02A68">
              <w:t xml:space="preserve"> th</w:t>
            </w:r>
            <w:r w:rsidR="005E7F33">
              <w:t>ese</w:t>
            </w:r>
            <w:r>
              <w:t>.</w:t>
            </w:r>
          </w:p>
          <w:p w14:paraId="621877EE" w14:textId="511EC144" w:rsidR="00C96343" w:rsidRDefault="00C96343">
            <w:r>
              <w:t xml:space="preserve">If you are unsure on remit, we can </w:t>
            </w:r>
            <w:r w:rsidR="00525141">
              <w:t>advise</w:t>
            </w:r>
            <w:r>
              <w:t xml:space="preserve"> or provide information about who to contact in the funder </w:t>
            </w:r>
            <w:r w:rsidR="00525141">
              <w:t>for more detailed queries</w:t>
            </w:r>
            <w:r>
              <w:t>.</w:t>
            </w:r>
          </w:p>
        </w:tc>
        <w:tc>
          <w:tcPr>
            <w:tcW w:w="1648" w:type="pct"/>
          </w:tcPr>
          <w:p w14:paraId="5FBDDDB8" w14:textId="46ECB3FF" w:rsidR="00651182" w:rsidRDefault="00651182">
            <w:r>
              <w:t xml:space="preserve">We are generally not able to advise on whether the proposed work is </w:t>
            </w:r>
            <w:r w:rsidR="005E7F33">
              <w:t xml:space="preserve">scientifically </w:t>
            </w:r>
            <w:r w:rsidR="0042417A">
              <w:t>robust enough to be competitive</w:t>
            </w:r>
            <w:r>
              <w:t xml:space="preserve">. </w:t>
            </w:r>
          </w:p>
        </w:tc>
      </w:tr>
      <w:tr w:rsidR="00651182" w14:paraId="3E06B761" w14:textId="77777777" w:rsidTr="00651182">
        <w:tc>
          <w:tcPr>
            <w:tcW w:w="761" w:type="pct"/>
            <w:vMerge/>
          </w:tcPr>
          <w:p w14:paraId="372A88F1" w14:textId="77777777" w:rsidR="00651182" w:rsidRDefault="00651182"/>
        </w:tc>
        <w:tc>
          <w:tcPr>
            <w:tcW w:w="914" w:type="pct"/>
          </w:tcPr>
          <w:p w14:paraId="5AB648EE" w14:textId="2A31FB5B" w:rsidR="00651182" w:rsidRDefault="00651182">
            <w:r>
              <w:t>Organising a meeting for interested applicants</w:t>
            </w:r>
          </w:p>
        </w:tc>
        <w:tc>
          <w:tcPr>
            <w:tcW w:w="1677" w:type="pct"/>
          </w:tcPr>
          <w:p w14:paraId="75D4526D" w14:textId="20F5B876" w:rsidR="00651182" w:rsidRDefault="00651182">
            <w:r>
              <w:t xml:space="preserve">We can arrange a meeting for potential applicants. This may be useful to understand who else </w:t>
            </w:r>
            <w:r w:rsidR="006C0A3B">
              <w:t xml:space="preserve">in Cambridge </w:t>
            </w:r>
            <w:r>
              <w:t xml:space="preserve">is interested in applying and discuss potential ideas. </w:t>
            </w:r>
            <w:r w:rsidR="003D16F6">
              <w:t>We can make connections between researchers in different departments or in di</w:t>
            </w:r>
            <w:r w:rsidR="00452B7F">
              <w:t xml:space="preserve">fferent schools where we can see common interests. (NB for </w:t>
            </w:r>
            <w:r w:rsidR="009F24B2">
              <w:t xml:space="preserve">researchers in Schools beyond SPS and </w:t>
            </w:r>
            <w:proofErr w:type="spellStart"/>
            <w:r w:rsidR="009F24B2">
              <w:t>SoT</w:t>
            </w:r>
            <w:proofErr w:type="spellEnd"/>
            <w:r w:rsidR="009F24B2">
              <w:t xml:space="preserve"> we can consult our counterpart research facilitators in other Schools.</w:t>
            </w:r>
            <w:r>
              <w:t xml:space="preserve"> </w:t>
            </w:r>
          </w:p>
        </w:tc>
        <w:tc>
          <w:tcPr>
            <w:tcW w:w="1648" w:type="pct"/>
          </w:tcPr>
          <w:p w14:paraId="0A32CB1C" w14:textId="77777777" w:rsidR="00651182" w:rsidRDefault="00651182">
            <w:r>
              <w:t xml:space="preserve">We are not able to organise regular meetings for applicant teams. We are usually very happy to attend such meetings. </w:t>
            </w:r>
          </w:p>
          <w:p w14:paraId="6871CCB3" w14:textId="77777777" w:rsidR="009F24B2" w:rsidRDefault="009F24B2"/>
          <w:p w14:paraId="6D6B075F" w14:textId="31ED414A" w:rsidR="009F24B2" w:rsidRDefault="00E06978">
            <w:r>
              <w:t>We do not usually help with identifying collaborators or advisors outside of Cambridge. We do not generally organise matchmaking events as PIs are usually best placed to know who they want to work with.</w:t>
            </w:r>
          </w:p>
        </w:tc>
      </w:tr>
      <w:tr w:rsidR="00651182" w14:paraId="56ECE5DC" w14:textId="77777777" w:rsidTr="00651182">
        <w:tc>
          <w:tcPr>
            <w:tcW w:w="761" w:type="pct"/>
            <w:vMerge/>
          </w:tcPr>
          <w:p w14:paraId="22B5E56C" w14:textId="77777777" w:rsidR="00651182" w:rsidRDefault="00651182"/>
        </w:tc>
        <w:tc>
          <w:tcPr>
            <w:tcW w:w="914" w:type="pct"/>
          </w:tcPr>
          <w:p w14:paraId="343AB046" w14:textId="5373288C" w:rsidR="00651182" w:rsidRDefault="00651182">
            <w:r>
              <w:t>Sending past examples</w:t>
            </w:r>
          </w:p>
        </w:tc>
        <w:tc>
          <w:tcPr>
            <w:tcW w:w="1677" w:type="pct"/>
          </w:tcPr>
          <w:p w14:paraId="372F2A44" w14:textId="3044E0EF" w:rsidR="00651182" w:rsidRDefault="00651182">
            <w:r>
              <w:t xml:space="preserve">We can source potential past examples of relevant applications, or relevant sections of past applications to send you. We are only able to do this where the past applicants have agreed for their application to be shared. </w:t>
            </w:r>
          </w:p>
        </w:tc>
        <w:tc>
          <w:tcPr>
            <w:tcW w:w="1648" w:type="pct"/>
          </w:tcPr>
          <w:p w14:paraId="277537DD" w14:textId="2BE0FDDE" w:rsidR="00651182" w:rsidRDefault="00651182">
            <w:r>
              <w:t xml:space="preserve">We are not able to send you past examples for schemes where the applicant has not agreed or where a scheme is new. We may be able to send you </w:t>
            </w:r>
            <w:r w:rsidR="00E73512">
              <w:t xml:space="preserve">relevant </w:t>
            </w:r>
            <w:r>
              <w:t xml:space="preserve">examples </w:t>
            </w:r>
            <w:r w:rsidR="00E73512">
              <w:t>from other similar schemes</w:t>
            </w:r>
            <w:r>
              <w:t>.</w:t>
            </w:r>
          </w:p>
        </w:tc>
      </w:tr>
      <w:tr w:rsidR="00D9679D" w14:paraId="4C63C383" w14:textId="77777777" w:rsidTr="00651182">
        <w:tc>
          <w:tcPr>
            <w:tcW w:w="761" w:type="pct"/>
            <w:vMerge w:val="restart"/>
          </w:tcPr>
          <w:p w14:paraId="593B1B30" w14:textId="4B90DA0E" w:rsidR="00D9679D" w:rsidRDefault="00D9679D">
            <w:r>
              <w:lastRenderedPageBreak/>
              <w:t xml:space="preserve">Writing support </w:t>
            </w:r>
          </w:p>
        </w:tc>
        <w:tc>
          <w:tcPr>
            <w:tcW w:w="914" w:type="pct"/>
          </w:tcPr>
          <w:p w14:paraId="0EB99CAA" w14:textId="40118D08" w:rsidR="00D9679D" w:rsidRDefault="00D9679D">
            <w:r>
              <w:t>Providing feedback on drafts</w:t>
            </w:r>
          </w:p>
        </w:tc>
        <w:tc>
          <w:tcPr>
            <w:tcW w:w="1677" w:type="pct"/>
          </w:tcPr>
          <w:p w14:paraId="4B8EDA5A" w14:textId="1B13B596" w:rsidR="00D9679D" w:rsidRDefault="00D9679D">
            <w:r>
              <w:t>We are happy to provide feedback on drafts of your application. We can provide feedback on the readability of the application and whether the application makes sense to a non-specialist. We can also feedback on whether there are any important elements</w:t>
            </w:r>
            <w:r w:rsidR="00F51CB6">
              <w:t xml:space="preserve"> missing</w:t>
            </w:r>
            <w:r>
              <w:t xml:space="preserve">. We can </w:t>
            </w:r>
            <w:r w:rsidR="00F51CB6">
              <w:t xml:space="preserve">also </w:t>
            </w:r>
            <w:r>
              <w:t>provide some proof reading.</w:t>
            </w:r>
          </w:p>
        </w:tc>
        <w:tc>
          <w:tcPr>
            <w:tcW w:w="1648" w:type="pct"/>
          </w:tcPr>
          <w:p w14:paraId="425B8756" w14:textId="79250CE6" w:rsidR="00D9679D" w:rsidRDefault="00D9679D">
            <w:r>
              <w:t>We are generalists with a non-technical background. We are generally not able to provide feedback on the quality of the science, or the methodologies used.</w:t>
            </w:r>
          </w:p>
        </w:tc>
      </w:tr>
      <w:tr w:rsidR="00D9679D" w14:paraId="1417C956" w14:textId="77777777" w:rsidTr="00651182">
        <w:tc>
          <w:tcPr>
            <w:tcW w:w="761" w:type="pct"/>
            <w:vMerge/>
          </w:tcPr>
          <w:p w14:paraId="2A504731" w14:textId="77777777" w:rsidR="00D9679D" w:rsidRDefault="00D9679D"/>
        </w:tc>
        <w:tc>
          <w:tcPr>
            <w:tcW w:w="914" w:type="pct"/>
          </w:tcPr>
          <w:p w14:paraId="20D6E9F6" w14:textId="2D69752E" w:rsidR="00D9679D" w:rsidRDefault="00D9679D">
            <w:r>
              <w:t>Writing initial drafts of non-technical sections</w:t>
            </w:r>
          </w:p>
        </w:tc>
        <w:tc>
          <w:tcPr>
            <w:tcW w:w="1677" w:type="pct"/>
          </w:tcPr>
          <w:p w14:paraId="60165B1F" w14:textId="36A851AA" w:rsidR="00D9679D" w:rsidRDefault="00D9679D">
            <w:r>
              <w:t xml:space="preserve">In some circumstances we </w:t>
            </w:r>
            <w:r w:rsidR="00F51CB6">
              <w:t>can</w:t>
            </w:r>
            <w:r>
              <w:t xml:space="preserve"> </w:t>
            </w:r>
            <w:r w:rsidR="005804C5">
              <w:t>write</w:t>
            </w:r>
            <w:r>
              <w:t xml:space="preserve"> initial drafts of non-technical sections of the application.</w:t>
            </w:r>
            <w:r w:rsidR="005804C5">
              <w:t xml:space="preserve"> Examples of these are below:</w:t>
            </w:r>
          </w:p>
          <w:p w14:paraId="61E562E6" w14:textId="77777777" w:rsidR="00D9679D" w:rsidRDefault="00D9679D"/>
          <w:p w14:paraId="64C7EB08" w14:textId="58113E36" w:rsidR="00D9679D" w:rsidRDefault="00D9679D"/>
        </w:tc>
        <w:tc>
          <w:tcPr>
            <w:tcW w:w="1648" w:type="pct"/>
          </w:tcPr>
          <w:p w14:paraId="64906FA4" w14:textId="39A1DDDA" w:rsidR="00D9679D" w:rsidRDefault="00D9679D">
            <w:r>
              <w:t>We are not able to draft the vision or approach or any other technical sections which require a knowledge of the science being proposed.</w:t>
            </w:r>
          </w:p>
        </w:tc>
      </w:tr>
      <w:tr w:rsidR="00D9679D" w14:paraId="250AB910" w14:textId="77777777" w:rsidTr="00651182">
        <w:tc>
          <w:tcPr>
            <w:tcW w:w="761" w:type="pct"/>
            <w:vMerge/>
          </w:tcPr>
          <w:p w14:paraId="0BA154FE" w14:textId="77777777" w:rsidR="00D9679D" w:rsidRDefault="00D9679D"/>
        </w:tc>
        <w:tc>
          <w:tcPr>
            <w:tcW w:w="914" w:type="pct"/>
          </w:tcPr>
          <w:p w14:paraId="47463877" w14:textId="77777777" w:rsidR="00D9679D" w:rsidRDefault="00D9679D"/>
        </w:tc>
        <w:tc>
          <w:tcPr>
            <w:tcW w:w="1677" w:type="pct"/>
          </w:tcPr>
          <w:p w14:paraId="774C6179" w14:textId="09F22650" w:rsidR="00D9679D" w:rsidRDefault="00D9679D">
            <w:r>
              <w:rPr>
                <w:noProof/>
              </w:rPr>
              <w:drawing>
                <wp:inline distT="0" distB="0" distL="0" distR="0" wp14:anchorId="18D24D69" wp14:editId="3478F2AE">
                  <wp:extent cx="270344" cy="270344"/>
                  <wp:effectExtent l="0" t="0" r="0" b="0"/>
                  <wp:docPr id="1043391335" name="Graphic 1" descr="Docume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91335" name="Graphic 1043391335" descr="Document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273288" cy="273288"/>
                          </a:xfrm>
                          <a:prstGeom prst="rect">
                            <a:avLst/>
                          </a:prstGeom>
                        </pic:spPr>
                      </pic:pic>
                    </a:graphicData>
                  </a:graphic>
                </wp:inline>
              </w:drawing>
            </w:r>
            <w:r>
              <w:t xml:space="preserve">Applicant and Team Capability to deliver: If the application involves a team of academic </w:t>
            </w:r>
            <w:proofErr w:type="spellStart"/>
            <w:r>
              <w:t>CoIs</w:t>
            </w:r>
            <w:proofErr w:type="spellEnd"/>
            <w:r>
              <w:t xml:space="preserve"> we can collate CV information from each member of the team and produce a first draft </w:t>
            </w:r>
            <w:r w:rsidR="00487F47">
              <w:t xml:space="preserve">of the R4RI </w:t>
            </w:r>
            <w:r w:rsidR="00FF397F">
              <w:t xml:space="preserve">modules </w:t>
            </w:r>
            <w:r>
              <w:t xml:space="preserve">based on this information. </w:t>
            </w:r>
          </w:p>
          <w:p w14:paraId="7F9F3542" w14:textId="77777777" w:rsidR="00D9679D" w:rsidRDefault="00D9679D"/>
          <w:p w14:paraId="4749DC44" w14:textId="28047A5F" w:rsidR="00D9679D" w:rsidRDefault="00D9679D">
            <w:r>
              <w:rPr>
                <w:noProof/>
              </w:rPr>
              <w:drawing>
                <wp:inline distT="0" distB="0" distL="0" distR="0" wp14:anchorId="15CCD112" wp14:editId="6D7D4BD2">
                  <wp:extent cx="270344" cy="270344"/>
                  <wp:effectExtent l="0" t="0" r="0" b="0"/>
                  <wp:docPr id="166413050" name="Graphic 1" descr="Docume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91335" name="Graphic 1043391335" descr="Document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273288" cy="273288"/>
                          </a:xfrm>
                          <a:prstGeom prst="rect">
                            <a:avLst/>
                          </a:prstGeom>
                        </pic:spPr>
                      </pic:pic>
                    </a:graphicData>
                  </a:graphic>
                </wp:inline>
              </w:drawing>
            </w:r>
            <w:r>
              <w:t xml:space="preserve">Management /Governance section: We </w:t>
            </w:r>
            <w:r w:rsidR="00ED58D0">
              <w:t>can</w:t>
            </w:r>
            <w:r>
              <w:t xml:space="preserve"> discuss with </w:t>
            </w:r>
            <w:r w:rsidR="00ED58D0">
              <w:t>you</w:t>
            </w:r>
            <w:r>
              <w:t xml:space="preserve"> the arrangements for management and key roles</w:t>
            </w:r>
            <w:r w:rsidR="00ED58D0">
              <w:t xml:space="preserve"> and write</w:t>
            </w:r>
            <w:r w:rsidR="00ED58D0">
              <w:t xml:space="preserve"> a first draft of the governance section. </w:t>
            </w:r>
            <w:r>
              <w:t>We can provide ideas for ECR support/ EDI Action Plan as well as suggested text for how to manage flexible funding.</w:t>
            </w:r>
          </w:p>
          <w:p w14:paraId="4F6D9320" w14:textId="77777777" w:rsidR="00D9679D" w:rsidRDefault="00D9679D"/>
          <w:p w14:paraId="7D64509C" w14:textId="290123C0" w:rsidR="00D9679D" w:rsidRDefault="00D9679D">
            <w:r>
              <w:rPr>
                <w:noProof/>
              </w:rPr>
              <w:drawing>
                <wp:inline distT="0" distB="0" distL="0" distR="0" wp14:anchorId="440729B0" wp14:editId="61D71F99">
                  <wp:extent cx="270344" cy="270344"/>
                  <wp:effectExtent l="0" t="0" r="0" b="0"/>
                  <wp:docPr id="34289189" name="Graphic 1" descr="Docume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91335" name="Graphic 1043391335" descr="Document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273288" cy="273288"/>
                          </a:xfrm>
                          <a:prstGeom prst="rect">
                            <a:avLst/>
                          </a:prstGeom>
                        </pic:spPr>
                      </pic:pic>
                    </a:graphicData>
                  </a:graphic>
                </wp:inline>
              </w:drawing>
            </w:r>
            <w:r>
              <w:t xml:space="preserve">Ethics and Responsible Innovation: We can provide </w:t>
            </w:r>
            <w:r w:rsidR="00881661">
              <w:t>some general text for</w:t>
            </w:r>
            <w:r>
              <w:t xml:space="preserve"> this section, based on university ethics structures, and training provision. </w:t>
            </w:r>
            <w:proofErr w:type="gramStart"/>
            <w:r>
              <w:t>However</w:t>
            </w:r>
            <w:proofErr w:type="gramEnd"/>
            <w:r>
              <w:t xml:space="preserve"> applicants will usually need to add specific information about </w:t>
            </w:r>
            <w:r>
              <w:lastRenderedPageBreak/>
              <w:t>key ethical and responsible innovation considerations for their specific topic area.</w:t>
            </w:r>
          </w:p>
          <w:p w14:paraId="46E990B8" w14:textId="77777777" w:rsidR="00D9679D" w:rsidRDefault="00D9679D"/>
          <w:p w14:paraId="0881755E" w14:textId="7B50B192" w:rsidR="00D9679D" w:rsidRDefault="00D9679D">
            <w:r>
              <w:rPr>
                <w:noProof/>
              </w:rPr>
              <w:drawing>
                <wp:inline distT="0" distB="0" distL="0" distR="0" wp14:anchorId="78D5B824" wp14:editId="3A062D3F">
                  <wp:extent cx="270344" cy="270344"/>
                  <wp:effectExtent l="0" t="0" r="0" b="0"/>
                  <wp:docPr id="638925942" name="Graphic 1" descr="Docume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91335" name="Graphic 1043391335" descr="Document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273288" cy="273288"/>
                          </a:xfrm>
                          <a:prstGeom prst="rect">
                            <a:avLst/>
                          </a:prstGeom>
                        </pic:spPr>
                      </pic:pic>
                    </a:graphicData>
                  </a:graphic>
                </wp:inline>
              </w:drawing>
            </w:r>
            <w:r>
              <w:t>Data Management Plan -we can provide access to relevant university information and funder expectations. We can signpost you to other support for this section.</w:t>
            </w:r>
          </w:p>
          <w:p w14:paraId="19C51FF7" w14:textId="77777777" w:rsidR="00D9679D" w:rsidRDefault="00D9679D"/>
          <w:p w14:paraId="5E849849" w14:textId="753222F6" w:rsidR="00D9679D" w:rsidRDefault="00D9679D" w:rsidP="000258DE">
            <w:r>
              <w:rPr>
                <w:noProof/>
              </w:rPr>
              <w:drawing>
                <wp:inline distT="0" distB="0" distL="0" distR="0" wp14:anchorId="233DBAEA" wp14:editId="123857FC">
                  <wp:extent cx="270344" cy="270344"/>
                  <wp:effectExtent l="0" t="0" r="0" b="0"/>
                  <wp:docPr id="766853042" name="Graphic 1" descr="Docume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91335" name="Graphic 1043391335" descr="Document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273288" cy="273288"/>
                          </a:xfrm>
                          <a:prstGeom prst="rect">
                            <a:avLst/>
                          </a:prstGeom>
                        </pic:spPr>
                      </pic:pic>
                    </a:graphicData>
                  </a:graphic>
                </wp:inline>
              </w:drawing>
            </w:r>
            <w:r>
              <w:t xml:space="preserve"> Justification of Resources - We can provide suggestions on how to structure or phrase this section. </w:t>
            </w:r>
            <w:r w:rsidR="001C3901">
              <w:t>Generally,</w:t>
            </w:r>
            <w:r>
              <w:t xml:space="preserve"> however the PI will work with their department costing team on this</w:t>
            </w:r>
            <w:r w:rsidR="001C3901">
              <w:t xml:space="preserve"> as they will </w:t>
            </w:r>
            <w:r w:rsidR="0049155B">
              <w:t>work with you on developing the budget</w:t>
            </w:r>
            <w:r>
              <w:t>.</w:t>
            </w:r>
          </w:p>
          <w:p w14:paraId="7DD620CB" w14:textId="77777777" w:rsidR="00D9679D" w:rsidRDefault="00D9679D" w:rsidP="000258DE"/>
          <w:p w14:paraId="78DCDA1B" w14:textId="3EBD281D" w:rsidR="008B4650" w:rsidRDefault="008B4650" w:rsidP="000258DE">
            <w:r>
              <w:rPr>
                <w:noProof/>
              </w:rPr>
              <w:drawing>
                <wp:inline distT="0" distB="0" distL="0" distR="0" wp14:anchorId="330A2016" wp14:editId="267DB101">
                  <wp:extent cx="270344" cy="270344"/>
                  <wp:effectExtent l="0" t="0" r="0" b="0"/>
                  <wp:docPr id="2020803351" name="Graphic 1" descr="Docume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91335" name="Graphic 1043391335" descr="Document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273288" cy="273288"/>
                          </a:xfrm>
                          <a:prstGeom prst="rect">
                            <a:avLst/>
                          </a:prstGeom>
                        </pic:spPr>
                      </pic:pic>
                    </a:graphicData>
                  </a:graphic>
                </wp:inline>
              </w:drawing>
            </w:r>
            <w:r>
              <w:t xml:space="preserve">Institutional support and environment – we can help draft letters of support if required from the Head of </w:t>
            </w:r>
            <w:proofErr w:type="gramStart"/>
            <w:r>
              <w:t>School</w:t>
            </w:r>
            <w:r w:rsidR="00080322">
              <w:t>, or</w:t>
            </w:r>
            <w:proofErr w:type="gramEnd"/>
            <w:r w:rsidR="00080322">
              <w:t xml:space="preserve"> </w:t>
            </w:r>
            <w:r w:rsidR="00512503">
              <w:t xml:space="preserve">provide general information about the School (e.g. number of staff, </w:t>
            </w:r>
            <w:r w:rsidR="00526D0A">
              <w:t>research income etc).</w:t>
            </w:r>
          </w:p>
          <w:p w14:paraId="0F4BD741" w14:textId="77777777" w:rsidR="008B4650" w:rsidRDefault="008B4650" w:rsidP="000258DE"/>
          <w:p w14:paraId="0323BBA3" w14:textId="04A02852" w:rsidR="00D9679D" w:rsidRDefault="00D9679D">
            <w:r>
              <w:rPr>
                <w:noProof/>
              </w:rPr>
              <w:drawing>
                <wp:inline distT="0" distB="0" distL="0" distR="0" wp14:anchorId="61BE6F3D" wp14:editId="61BE63CE">
                  <wp:extent cx="270344" cy="270344"/>
                  <wp:effectExtent l="0" t="0" r="0" b="0"/>
                  <wp:docPr id="228308902" name="Graphic 1" descr="Docume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91335" name="Graphic 1043391335" descr="Document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273288" cy="273288"/>
                          </a:xfrm>
                          <a:prstGeom prst="rect">
                            <a:avLst/>
                          </a:prstGeom>
                        </pic:spPr>
                      </pic:pic>
                    </a:graphicData>
                  </a:graphic>
                </wp:inline>
              </w:drawing>
            </w:r>
            <w:r>
              <w:t>Cambridge Large Grant Contribution Fund – We can produce a first draft of the request for the Cambridge Large Grant contribution fund for large applications over £5M. We can discuss with you what costs will benefit the project and fit with the LGCF priorities. Further support is provided by the Research Strategy Office.</w:t>
            </w:r>
          </w:p>
          <w:p w14:paraId="6BF0FCCD" w14:textId="763CCF40" w:rsidR="00D9679D" w:rsidRDefault="00D9679D"/>
        </w:tc>
        <w:tc>
          <w:tcPr>
            <w:tcW w:w="1648" w:type="pct"/>
          </w:tcPr>
          <w:p w14:paraId="2A3E0699" w14:textId="2C357043" w:rsidR="00D9679D" w:rsidRDefault="00D9679D">
            <w:r>
              <w:lastRenderedPageBreak/>
              <w:t>We would not usually help with a first draft of the Applicant and Team Capability to deliver section if the application is a fellowship or from an individual. This is because generally more detail is required from the PI.</w:t>
            </w:r>
            <w:r w:rsidR="00FF397F">
              <w:t xml:space="preserve"> We are happy to </w:t>
            </w:r>
            <w:r w:rsidR="00AA5174">
              <w:t xml:space="preserve">provide comments on your </w:t>
            </w:r>
            <w:proofErr w:type="gramStart"/>
            <w:r w:rsidR="00AA5174">
              <w:t>draft</w:t>
            </w:r>
            <w:proofErr w:type="gramEnd"/>
            <w:r w:rsidR="00AA5174">
              <w:t xml:space="preserve"> however.</w:t>
            </w:r>
          </w:p>
          <w:p w14:paraId="3CD1651E" w14:textId="77777777" w:rsidR="00D9679D" w:rsidRDefault="00D9679D"/>
          <w:p w14:paraId="4B53C2BE" w14:textId="01BD201E" w:rsidR="00D9679D" w:rsidRDefault="00D9679D" w:rsidP="000258DE">
            <w:r>
              <w:t xml:space="preserve">We would not usually help with cost or finance information. </w:t>
            </w:r>
            <w:r w:rsidR="008C7EE9">
              <w:t>L</w:t>
            </w:r>
            <w:r>
              <w:t>ocal teams within the department will support with costing. We do not provide any support for coordinating budgets across departments or partners.</w:t>
            </w:r>
          </w:p>
          <w:p w14:paraId="5587DE60" w14:textId="77777777" w:rsidR="00D9679D" w:rsidRDefault="00D9679D" w:rsidP="000258DE"/>
          <w:p w14:paraId="79B2D690" w14:textId="77777777" w:rsidR="00D9679D" w:rsidRDefault="00D9679D" w:rsidP="000258DE">
            <w:r>
              <w:t>We would not usually coordinate or collat</w:t>
            </w:r>
            <w:r w:rsidR="008C7EE9">
              <w:t>e</w:t>
            </w:r>
            <w:r>
              <w:t xml:space="preserve"> project partner letters of support. However</w:t>
            </w:r>
            <w:r w:rsidR="008C7EE9">
              <w:t>,</w:t>
            </w:r>
            <w:r>
              <w:t xml:space="preserve"> we can provide a template and guidance on structure if needed.</w:t>
            </w:r>
          </w:p>
          <w:p w14:paraId="59245749" w14:textId="77777777" w:rsidR="00855C94" w:rsidRDefault="00855C94" w:rsidP="000258DE"/>
          <w:p w14:paraId="171F40EE" w14:textId="174224A4" w:rsidR="00855C94" w:rsidRDefault="00855C94" w:rsidP="000258DE">
            <w:r>
              <w:t xml:space="preserve">We do not usually provide help with Head of Department statements of support or </w:t>
            </w:r>
            <w:r w:rsidR="005A59D6">
              <w:lastRenderedPageBreak/>
              <w:t xml:space="preserve">information about </w:t>
            </w:r>
            <w:r>
              <w:t xml:space="preserve">local department </w:t>
            </w:r>
            <w:r w:rsidR="005A59D6">
              <w:t xml:space="preserve">infrastructure. </w:t>
            </w:r>
          </w:p>
        </w:tc>
      </w:tr>
      <w:tr w:rsidR="00D9679D" w14:paraId="510A2DDB" w14:textId="77777777" w:rsidTr="00651182">
        <w:tc>
          <w:tcPr>
            <w:tcW w:w="761" w:type="pct"/>
            <w:vMerge/>
          </w:tcPr>
          <w:p w14:paraId="367A294B" w14:textId="77777777" w:rsidR="00D9679D" w:rsidRDefault="00D9679D"/>
        </w:tc>
        <w:tc>
          <w:tcPr>
            <w:tcW w:w="914" w:type="pct"/>
          </w:tcPr>
          <w:p w14:paraId="078EEC81" w14:textId="08286E14" w:rsidR="00D9679D" w:rsidRDefault="00D9679D">
            <w:r>
              <w:t>Signposting to other sources of support</w:t>
            </w:r>
          </w:p>
        </w:tc>
        <w:tc>
          <w:tcPr>
            <w:tcW w:w="1677" w:type="pct"/>
          </w:tcPr>
          <w:p w14:paraId="096AB0E3" w14:textId="77777777" w:rsidR="00D9679D" w:rsidRDefault="00D9679D">
            <w:pPr>
              <w:rPr>
                <w:noProof/>
              </w:rPr>
            </w:pPr>
            <w:r>
              <w:rPr>
                <w:noProof/>
              </w:rPr>
              <w:t>We can signpost you to other teams for specialist advise on specific aspects of your application.</w:t>
            </w:r>
          </w:p>
          <w:p w14:paraId="4E612862" w14:textId="77777777" w:rsidR="00D9679D" w:rsidRDefault="00D9679D">
            <w:pPr>
              <w:rPr>
                <w:noProof/>
              </w:rPr>
            </w:pPr>
            <w:r>
              <w:rPr>
                <w:noProof/>
              </w:rPr>
              <w:t>Examples include IP and commercialisation, policy engagement, public engagement etc.</w:t>
            </w:r>
          </w:p>
          <w:p w14:paraId="13DAEE5C" w14:textId="77777777" w:rsidR="00765BAE" w:rsidRDefault="00765BAE" w:rsidP="00765BAE"/>
          <w:p w14:paraId="005714BE" w14:textId="6BD1E2CD" w:rsidR="00765BAE" w:rsidRDefault="00765BAE" w:rsidP="00765BAE">
            <w:r>
              <w:t>Note, there is a separate team withing the university that can review D</w:t>
            </w:r>
            <w:r w:rsidR="00DD2C63">
              <w:t xml:space="preserve">ata </w:t>
            </w:r>
            <w:r>
              <w:t>M</w:t>
            </w:r>
            <w:r w:rsidR="00DD2C63">
              <w:t xml:space="preserve">anagement </w:t>
            </w:r>
            <w:r>
              <w:t>P</w:t>
            </w:r>
            <w:r w:rsidR="00DD2C63">
              <w:t>lan</w:t>
            </w:r>
            <w:r>
              <w:t xml:space="preserve">s. </w:t>
            </w:r>
            <w:hyperlink r:id="rId10" w:history="1">
              <w:r w:rsidRPr="00C4344C">
                <w:rPr>
                  <w:rStyle w:val="Hyperlink"/>
                </w:rPr>
                <w:t>Data Management Plan Review Support | Research Data Management</w:t>
              </w:r>
            </w:hyperlink>
          </w:p>
          <w:p w14:paraId="1113C491" w14:textId="7B5CF4AA" w:rsidR="00765BAE" w:rsidRDefault="00765BAE">
            <w:pPr>
              <w:rPr>
                <w:noProof/>
              </w:rPr>
            </w:pPr>
          </w:p>
        </w:tc>
        <w:tc>
          <w:tcPr>
            <w:tcW w:w="1648" w:type="pct"/>
          </w:tcPr>
          <w:p w14:paraId="3E68AEE4" w14:textId="77777777" w:rsidR="00D9679D" w:rsidRDefault="00D9679D"/>
        </w:tc>
      </w:tr>
      <w:tr w:rsidR="00651182" w14:paraId="29866A87" w14:textId="77777777" w:rsidTr="00651182">
        <w:tc>
          <w:tcPr>
            <w:tcW w:w="761" w:type="pct"/>
            <w:vMerge w:val="restart"/>
          </w:tcPr>
          <w:p w14:paraId="5100AACA" w14:textId="7183B9AD" w:rsidR="00651182" w:rsidRDefault="00651182">
            <w:r>
              <w:lastRenderedPageBreak/>
              <w:t>Support post submission</w:t>
            </w:r>
          </w:p>
        </w:tc>
        <w:tc>
          <w:tcPr>
            <w:tcW w:w="914" w:type="pct"/>
          </w:tcPr>
          <w:p w14:paraId="21A4E186" w14:textId="5B9983C8" w:rsidR="00651182" w:rsidRDefault="00651182">
            <w:r>
              <w:t>Reviewing response to reviewers</w:t>
            </w:r>
          </w:p>
        </w:tc>
        <w:tc>
          <w:tcPr>
            <w:tcW w:w="1677" w:type="pct"/>
          </w:tcPr>
          <w:p w14:paraId="4D6C98DC" w14:textId="5AEDACD2" w:rsidR="00651182" w:rsidRDefault="00651182">
            <w:pPr>
              <w:rPr>
                <w:noProof/>
              </w:rPr>
            </w:pPr>
            <w:r>
              <w:rPr>
                <w:noProof/>
              </w:rPr>
              <w:t>We can send you information on how to structure your reposnse to reviewers. We can also review your response for tone and focus and advise on how to answer peer review questions raised around the non-technical parts of the application.</w:t>
            </w:r>
          </w:p>
        </w:tc>
        <w:tc>
          <w:tcPr>
            <w:tcW w:w="1648" w:type="pct"/>
          </w:tcPr>
          <w:p w14:paraId="5A311F30" w14:textId="3C2D6495" w:rsidR="00651182" w:rsidRDefault="00651182">
            <w:r>
              <w:t>We cannot provide information on how to respond to technical questions or discrepancies that relate to the science.</w:t>
            </w:r>
          </w:p>
        </w:tc>
      </w:tr>
      <w:tr w:rsidR="00651182" w14:paraId="4A091877" w14:textId="77777777" w:rsidTr="00651182">
        <w:tc>
          <w:tcPr>
            <w:tcW w:w="761" w:type="pct"/>
            <w:vMerge/>
          </w:tcPr>
          <w:p w14:paraId="24B17AB6" w14:textId="77777777" w:rsidR="00651182" w:rsidRDefault="00651182"/>
        </w:tc>
        <w:tc>
          <w:tcPr>
            <w:tcW w:w="914" w:type="pct"/>
          </w:tcPr>
          <w:p w14:paraId="47BD5E66" w14:textId="4E4308B5" w:rsidR="00651182" w:rsidRDefault="00651182">
            <w:r>
              <w:t>Providing support for mock interviews</w:t>
            </w:r>
          </w:p>
        </w:tc>
        <w:tc>
          <w:tcPr>
            <w:tcW w:w="1677" w:type="pct"/>
          </w:tcPr>
          <w:p w14:paraId="476907DC" w14:textId="77777777" w:rsidR="00651182" w:rsidRDefault="00651182">
            <w:pPr>
              <w:rPr>
                <w:noProof/>
              </w:rPr>
            </w:pPr>
            <w:r>
              <w:rPr>
                <w:noProof/>
              </w:rPr>
              <w:t>We can help with mock interviews in the following ways:</w:t>
            </w:r>
          </w:p>
          <w:p w14:paraId="7B4FB65B" w14:textId="43C8F7B4" w:rsidR="00651182" w:rsidRDefault="00651182" w:rsidP="00651182">
            <w:pPr>
              <w:pStyle w:val="ListParagraph"/>
              <w:numPr>
                <w:ilvl w:val="0"/>
                <w:numId w:val="1"/>
              </w:numPr>
              <w:rPr>
                <w:noProof/>
              </w:rPr>
            </w:pPr>
            <w:r>
              <w:rPr>
                <w:noProof/>
              </w:rPr>
              <w:t xml:space="preserve">We can schedule a mock interview for you </w:t>
            </w:r>
            <w:r w:rsidR="0001368B">
              <w:rPr>
                <w:noProof/>
              </w:rPr>
              <w:t>such as</w:t>
            </w:r>
            <w:r>
              <w:rPr>
                <w:noProof/>
              </w:rPr>
              <w:t xml:space="preserve"> lining up mock panel members</w:t>
            </w:r>
          </w:p>
          <w:p w14:paraId="646D4F14" w14:textId="5E161473" w:rsidR="00651182" w:rsidRDefault="00651182" w:rsidP="00651182">
            <w:pPr>
              <w:pStyle w:val="ListParagraph"/>
              <w:numPr>
                <w:ilvl w:val="0"/>
                <w:numId w:val="1"/>
              </w:numPr>
              <w:rPr>
                <w:noProof/>
              </w:rPr>
            </w:pPr>
            <w:r>
              <w:rPr>
                <w:noProof/>
              </w:rPr>
              <w:t xml:space="preserve">If the PI or others organise </w:t>
            </w:r>
            <w:r w:rsidR="000C32FD">
              <w:rPr>
                <w:noProof/>
              </w:rPr>
              <w:t>a</w:t>
            </w:r>
            <w:r>
              <w:rPr>
                <w:noProof/>
              </w:rPr>
              <w:t xml:space="preserve"> mock interview, we are happy to be part of a mock panel to ask tricky questions!</w:t>
            </w:r>
          </w:p>
          <w:p w14:paraId="46DB576E" w14:textId="549CAFC9" w:rsidR="00651182" w:rsidRDefault="00651182" w:rsidP="00651182">
            <w:pPr>
              <w:pStyle w:val="ListParagraph"/>
              <w:numPr>
                <w:ilvl w:val="0"/>
                <w:numId w:val="1"/>
              </w:numPr>
              <w:rPr>
                <w:noProof/>
              </w:rPr>
            </w:pPr>
            <w:r>
              <w:rPr>
                <w:noProof/>
              </w:rPr>
              <w:t xml:space="preserve">We can provide example interview questions for your team to practise based on our experience with past interviews. </w:t>
            </w:r>
          </w:p>
        </w:tc>
        <w:tc>
          <w:tcPr>
            <w:tcW w:w="1648" w:type="pct"/>
          </w:tcPr>
          <w:p w14:paraId="660F412A" w14:textId="52B7E6F1" w:rsidR="00651182" w:rsidRDefault="00651182">
            <w:r>
              <w:t xml:space="preserve">We are not able to offer support for organising all mock interviews. </w:t>
            </w:r>
            <w:proofErr w:type="gramStart"/>
            <w:r w:rsidR="000C32FD">
              <w:t>Generally</w:t>
            </w:r>
            <w:proofErr w:type="gramEnd"/>
            <w:r w:rsidR="000C32FD">
              <w:t xml:space="preserve"> we will not be able to help organise mock interviews for early career fellowships due to the quantity of these.</w:t>
            </w:r>
          </w:p>
          <w:p w14:paraId="67B5F1C6" w14:textId="2820F5B2" w:rsidR="00651182" w:rsidRDefault="00651182">
            <w:r>
              <w:t>Where we are unable to help</w:t>
            </w:r>
            <w:r w:rsidR="000C32FD">
              <w:t>,</w:t>
            </w:r>
            <w:r>
              <w:t xml:space="preserve"> we can </w:t>
            </w:r>
            <w:r w:rsidR="000C32FD">
              <w:t xml:space="preserve">provide advice on mock interview formats or </w:t>
            </w:r>
            <w:r>
              <w:t>suggest others you can approach to be part of a mock panel.</w:t>
            </w:r>
          </w:p>
        </w:tc>
      </w:tr>
    </w:tbl>
    <w:p w14:paraId="34457C16" w14:textId="77777777" w:rsidR="00D52CA8" w:rsidRDefault="00D52CA8"/>
    <w:sectPr w:rsidR="00D52CA8" w:rsidSect="00D52C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651D6"/>
    <w:multiLevelType w:val="hybridMultilevel"/>
    <w:tmpl w:val="1FDA5F5C"/>
    <w:lvl w:ilvl="0" w:tplc="C97079B2">
      <w:start w:val="7"/>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9517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A8"/>
    <w:rsid w:val="0001368B"/>
    <w:rsid w:val="000258DE"/>
    <w:rsid w:val="00080322"/>
    <w:rsid w:val="000A625F"/>
    <w:rsid w:val="000C32FD"/>
    <w:rsid w:val="001067B6"/>
    <w:rsid w:val="001262F2"/>
    <w:rsid w:val="001C3901"/>
    <w:rsid w:val="003D16F6"/>
    <w:rsid w:val="0042417A"/>
    <w:rsid w:val="00452B7F"/>
    <w:rsid w:val="00487F47"/>
    <w:rsid w:val="0049155B"/>
    <w:rsid w:val="004F524B"/>
    <w:rsid w:val="00512503"/>
    <w:rsid w:val="00521C4C"/>
    <w:rsid w:val="00525141"/>
    <w:rsid w:val="00526D0A"/>
    <w:rsid w:val="00566E09"/>
    <w:rsid w:val="005804C5"/>
    <w:rsid w:val="005A59D6"/>
    <w:rsid w:val="005B24CA"/>
    <w:rsid w:val="005E49D3"/>
    <w:rsid w:val="005E7F33"/>
    <w:rsid w:val="00651182"/>
    <w:rsid w:val="0069781F"/>
    <w:rsid w:val="006C0A3B"/>
    <w:rsid w:val="006C2FFA"/>
    <w:rsid w:val="006F4EF3"/>
    <w:rsid w:val="00765BAE"/>
    <w:rsid w:val="007661A5"/>
    <w:rsid w:val="00796718"/>
    <w:rsid w:val="007A1D21"/>
    <w:rsid w:val="007C166D"/>
    <w:rsid w:val="007E47E7"/>
    <w:rsid w:val="00855C94"/>
    <w:rsid w:val="00860B82"/>
    <w:rsid w:val="00881661"/>
    <w:rsid w:val="008A18B9"/>
    <w:rsid w:val="008B4650"/>
    <w:rsid w:val="008C7EE9"/>
    <w:rsid w:val="009E2D58"/>
    <w:rsid w:val="009F24B2"/>
    <w:rsid w:val="00A038A8"/>
    <w:rsid w:val="00A106F8"/>
    <w:rsid w:val="00A108D3"/>
    <w:rsid w:val="00A53362"/>
    <w:rsid w:val="00AA5174"/>
    <w:rsid w:val="00BD3694"/>
    <w:rsid w:val="00C156CA"/>
    <w:rsid w:val="00C4344C"/>
    <w:rsid w:val="00C952E3"/>
    <w:rsid w:val="00C96343"/>
    <w:rsid w:val="00CB51B6"/>
    <w:rsid w:val="00CE4FF1"/>
    <w:rsid w:val="00D33FE7"/>
    <w:rsid w:val="00D52CA8"/>
    <w:rsid w:val="00D9679D"/>
    <w:rsid w:val="00DD2C63"/>
    <w:rsid w:val="00E06978"/>
    <w:rsid w:val="00E73512"/>
    <w:rsid w:val="00EC30BE"/>
    <w:rsid w:val="00ED58D0"/>
    <w:rsid w:val="00F02A68"/>
    <w:rsid w:val="00F51CB6"/>
    <w:rsid w:val="00FD61E5"/>
    <w:rsid w:val="00FF3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ACBB"/>
  <w15:chartTrackingRefBased/>
  <w15:docId w15:val="{7424FD3E-ECE9-4D4F-B992-2EFCD8A2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C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CA8"/>
    <w:rPr>
      <w:rFonts w:eastAsiaTheme="majorEastAsia" w:cstheme="majorBidi"/>
      <w:color w:val="272727" w:themeColor="text1" w:themeTint="D8"/>
    </w:rPr>
  </w:style>
  <w:style w:type="paragraph" w:styleId="Title">
    <w:name w:val="Title"/>
    <w:basedOn w:val="Normal"/>
    <w:next w:val="Normal"/>
    <w:link w:val="TitleChar"/>
    <w:uiPriority w:val="10"/>
    <w:qFormat/>
    <w:rsid w:val="00D52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CA8"/>
    <w:pPr>
      <w:spacing w:before="160"/>
      <w:jc w:val="center"/>
    </w:pPr>
    <w:rPr>
      <w:i/>
      <w:iCs/>
      <w:color w:val="404040" w:themeColor="text1" w:themeTint="BF"/>
    </w:rPr>
  </w:style>
  <w:style w:type="character" w:customStyle="1" w:styleId="QuoteChar">
    <w:name w:val="Quote Char"/>
    <w:basedOn w:val="DefaultParagraphFont"/>
    <w:link w:val="Quote"/>
    <w:uiPriority w:val="29"/>
    <w:rsid w:val="00D52CA8"/>
    <w:rPr>
      <w:i/>
      <w:iCs/>
      <w:color w:val="404040" w:themeColor="text1" w:themeTint="BF"/>
    </w:rPr>
  </w:style>
  <w:style w:type="paragraph" w:styleId="ListParagraph">
    <w:name w:val="List Paragraph"/>
    <w:basedOn w:val="Normal"/>
    <w:uiPriority w:val="34"/>
    <w:qFormat/>
    <w:rsid w:val="00D52CA8"/>
    <w:pPr>
      <w:ind w:left="720"/>
      <w:contextualSpacing/>
    </w:pPr>
  </w:style>
  <w:style w:type="character" w:styleId="IntenseEmphasis">
    <w:name w:val="Intense Emphasis"/>
    <w:basedOn w:val="DefaultParagraphFont"/>
    <w:uiPriority w:val="21"/>
    <w:qFormat/>
    <w:rsid w:val="00D52CA8"/>
    <w:rPr>
      <w:i/>
      <w:iCs/>
      <w:color w:val="0F4761" w:themeColor="accent1" w:themeShade="BF"/>
    </w:rPr>
  </w:style>
  <w:style w:type="paragraph" w:styleId="IntenseQuote">
    <w:name w:val="Intense Quote"/>
    <w:basedOn w:val="Normal"/>
    <w:next w:val="Normal"/>
    <w:link w:val="IntenseQuoteChar"/>
    <w:uiPriority w:val="30"/>
    <w:qFormat/>
    <w:rsid w:val="00D52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CA8"/>
    <w:rPr>
      <w:i/>
      <w:iCs/>
      <w:color w:val="0F4761" w:themeColor="accent1" w:themeShade="BF"/>
    </w:rPr>
  </w:style>
  <w:style w:type="character" w:styleId="IntenseReference">
    <w:name w:val="Intense Reference"/>
    <w:basedOn w:val="DefaultParagraphFont"/>
    <w:uiPriority w:val="32"/>
    <w:qFormat/>
    <w:rsid w:val="00D52CA8"/>
    <w:rPr>
      <w:b/>
      <w:bCs/>
      <w:smallCaps/>
      <w:color w:val="0F4761" w:themeColor="accent1" w:themeShade="BF"/>
      <w:spacing w:val="5"/>
    </w:rPr>
  </w:style>
  <w:style w:type="table" w:styleId="TableGrid">
    <w:name w:val="Table Grid"/>
    <w:basedOn w:val="TableNormal"/>
    <w:uiPriority w:val="39"/>
    <w:rsid w:val="00D52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344C"/>
    <w:rPr>
      <w:color w:val="467886" w:themeColor="hyperlink"/>
      <w:u w:val="single"/>
    </w:rPr>
  </w:style>
  <w:style w:type="character" w:styleId="UnresolvedMention">
    <w:name w:val="Unresolved Mention"/>
    <w:basedOn w:val="DefaultParagraphFont"/>
    <w:uiPriority w:val="99"/>
    <w:semiHidden/>
    <w:unhideWhenUsed/>
    <w:rsid w:val="00C43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data.cam.ac.uk/DMPsupport" TargetMode="Externa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85f6d9-f2d5-448b-bb44-f4390f59584e" xsi:nil="true"/>
    <lcf76f155ced4ddcb4097134ff3c332f xmlns="7942aeca-f132-48f3-9b43-b3f6a25623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9F875171F70E459504B6C2E8F835C0" ma:contentTypeVersion="14" ma:contentTypeDescription="Create a new document." ma:contentTypeScope="" ma:versionID="4af9a3559f0407e5087a261f793d677f">
  <xsd:schema xmlns:xsd="http://www.w3.org/2001/XMLSchema" xmlns:xs="http://www.w3.org/2001/XMLSchema" xmlns:p="http://schemas.microsoft.com/office/2006/metadata/properties" xmlns:ns2="7942aeca-f132-48f3-9b43-b3f6a2562375" xmlns:ns3="6685f6d9-f2d5-448b-bb44-f4390f59584e" targetNamespace="http://schemas.microsoft.com/office/2006/metadata/properties" ma:root="true" ma:fieldsID="a586bbae709d94999bb48236dbd4ee97" ns2:_="" ns3:_="">
    <xsd:import namespace="7942aeca-f132-48f3-9b43-b3f6a2562375"/>
    <xsd:import namespace="6685f6d9-f2d5-448b-bb44-f4390f595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2aeca-f132-48f3-9b43-b3f6a2562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5f6d9-f2d5-448b-bb44-f4390f595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726fa3-8971-4379-b2ab-e8d2b7fc9282}" ma:internalName="TaxCatchAll" ma:showField="CatchAllData" ma:web="6685f6d9-f2d5-448b-bb44-f4390f5958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15E90-1A3A-4EE6-9948-E51BF2AE4C10}">
  <ds:schemaRefs>
    <ds:schemaRef ds:uri="http://schemas.microsoft.com/office/2006/metadata/properties"/>
    <ds:schemaRef ds:uri="http://schemas.microsoft.com/office/infopath/2007/PartnerControls"/>
    <ds:schemaRef ds:uri="6685f6d9-f2d5-448b-bb44-f4390f59584e"/>
    <ds:schemaRef ds:uri="7942aeca-f132-48f3-9b43-b3f6a2562375"/>
  </ds:schemaRefs>
</ds:datastoreItem>
</file>

<file path=customXml/itemProps2.xml><?xml version="1.0" encoding="utf-8"?>
<ds:datastoreItem xmlns:ds="http://schemas.openxmlformats.org/officeDocument/2006/customXml" ds:itemID="{0A5123EA-0CC0-48CB-8203-1F6848B58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2aeca-f132-48f3-9b43-b3f6a2562375"/>
    <ds:schemaRef ds:uri="6685f6d9-f2d5-448b-bb44-f4390f595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34AEC-C29B-4F40-A188-3DF66B105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Bird</dc:creator>
  <cp:keywords/>
  <dc:description/>
  <cp:lastModifiedBy>Christopher Bird</cp:lastModifiedBy>
  <cp:revision>55</cp:revision>
  <dcterms:created xsi:type="dcterms:W3CDTF">2025-03-17T10:30:00Z</dcterms:created>
  <dcterms:modified xsi:type="dcterms:W3CDTF">2025-03-18T16:05:00Z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0x010100049F875171F70E459504B6C2E8F835C0</vt:lpwstr>
  </property>
  <property fmtid="{D5CDD505-2E9C-101B-9397-08002B2CF9AE}" pid="3" name="MediaServiceImageTags">
    <vt:lpwstr/>
  </property>
</Properties>
</file>